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line="540" w:lineRule="exact"/>
        <w:rPr>
          <w:rFonts w:hint="default" w:ascii="黑体" w:hAnsi="黑体" w:eastAsia="黑体" w:cs="仿宋_GB2312"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_GB2312"/>
          <w:bCs/>
          <w:kern w:val="0"/>
          <w:sz w:val="32"/>
          <w:szCs w:val="32"/>
          <w:lang w:val="en-US" w:eastAsia="zh-CN"/>
        </w:rPr>
        <w:t>附件6</w:t>
      </w:r>
    </w:p>
    <w:p>
      <w:pPr>
        <w:ind w:right="482"/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服务报价参考方案</w:t>
      </w:r>
    </w:p>
    <w:p>
      <w:pPr>
        <w:ind w:right="482"/>
        <w:jc w:val="left"/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报价单位：</w:t>
      </w:r>
    </w:p>
    <w:tbl>
      <w:tblPr>
        <w:tblStyle w:val="14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0"/>
        <w:gridCol w:w="3915"/>
        <w:gridCol w:w="3875"/>
        <w:gridCol w:w="2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  <w:t>服务类型</w:t>
            </w:r>
          </w:p>
        </w:tc>
        <w:tc>
          <w:tcPr>
            <w:tcW w:w="137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  <w:t>1000万金额以下的项目</w:t>
            </w:r>
          </w:p>
        </w:tc>
        <w:tc>
          <w:tcPr>
            <w:tcW w:w="136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  <w:t>1000元金额以上的项目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  <w:t>（含1000万）</w:t>
            </w:r>
          </w:p>
        </w:tc>
        <w:tc>
          <w:tcPr>
            <w:tcW w:w="83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  <w:t>工程概算审核</w:t>
            </w:r>
          </w:p>
        </w:tc>
        <w:tc>
          <w:tcPr>
            <w:tcW w:w="1376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按照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《广西建设工程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工程造价咨询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行业收费参考标准》(桂价协字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〔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2019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15号)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给予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折优惠</w:t>
            </w:r>
          </w:p>
        </w:tc>
        <w:tc>
          <w:tcPr>
            <w:tcW w:w="1362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按照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《广西建设工程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工程造价咨询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行业收费参考标准》(桂价协字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〔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2019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15号)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给予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折优惠</w:t>
            </w:r>
          </w:p>
        </w:tc>
        <w:tc>
          <w:tcPr>
            <w:tcW w:w="832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  <w:t>单项建设工程造价咨询收费按行业收费参考标准计算不足3000元的，按3000元计费。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  <w:t>施工图预算审核</w:t>
            </w:r>
          </w:p>
        </w:tc>
        <w:tc>
          <w:tcPr>
            <w:tcW w:w="1376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62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32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  <w:t>工程量清单和控制价审核</w:t>
            </w:r>
          </w:p>
        </w:tc>
        <w:tc>
          <w:tcPr>
            <w:tcW w:w="1376" w:type="pct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362" w:type="pct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832" w:type="pct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  <w:t>施工过程造价咨询</w:t>
            </w:r>
          </w:p>
        </w:tc>
        <w:tc>
          <w:tcPr>
            <w:tcW w:w="1376" w:type="pct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362" w:type="pct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832" w:type="pct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全过程造价咨询</w:t>
            </w:r>
          </w:p>
        </w:tc>
        <w:tc>
          <w:tcPr>
            <w:tcW w:w="1376" w:type="pct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362" w:type="pct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832" w:type="pct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  <w:t>竣工结算审核</w:t>
            </w:r>
          </w:p>
        </w:tc>
        <w:tc>
          <w:tcPr>
            <w:tcW w:w="1376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按照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《广西建设工程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工程造价咨询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行业收费参考标准》(桂价协字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〔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2019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15号)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“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6.1按‘基本费+效益费’计费”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给予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折优惠</w:t>
            </w:r>
          </w:p>
        </w:tc>
        <w:tc>
          <w:tcPr>
            <w:tcW w:w="1362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按照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《广西建设工程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工程造价咨询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行业收费参考标准》(桂价协字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〔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2019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15号)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“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6.1按‘基本费+效益费’计费”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给予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折优惠</w:t>
            </w:r>
          </w:p>
        </w:tc>
        <w:tc>
          <w:tcPr>
            <w:tcW w:w="832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105" w:leftChars="50" w:right="105" w:rightChars="5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pgSz w:w="16838" w:h="11906" w:orient="landscape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5F830F"/>
    <w:multiLevelType w:val="multilevel"/>
    <w:tmpl w:val="C45F830F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420"/>
      </w:pPr>
      <w:rPr>
        <w:rFonts w:hint="eastAsia" w:eastAsia="仿宋"/>
        <w:b/>
        <w:sz w:val="32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420"/>
      </w:pPr>
      <w:rPr>
        <w:rFonts w:hint="eastAsia" w:ascii="宋体" w:hAnsi="宋体" w:eastAsia="仿宋" w:cs="宋体"/>
        <w:b/>
        <w:sz w:val="28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28FE5D8B"/>
    <w:multiLevelType w:val="multilevel"/>
    <w:tmpl w:val="28FE5D8B"/>
    <w:lvl w:ilvl="0" w:tentative="0">
      <w:start w:val="1"/>
      <w:numFmt w:val="chineseCounting"/>
      <w:pStyle w:val="17"/>
      <w:suff w:val="nothing"/>
      <w:lvlText w:val="%1、"/>
      <w:lvlJc w:val="left"/>
      <w:pPr>
        <w:tabs>
          <w:tab w:val="left" w:pos="0"/>
        </w:tabs>
        <w:ind w:left="0" w:firstLine="640"/>
      </w:pPr>
      <w:rPr>
        <w:rFonts w:hint="eastAsia" w:ascii="宋体" w:hAnsi="宋体" w:eastAsia="黑体" w:cs="宋体"/>
        <w:b/>
        <w:sz w:val="32"/>
      </w:rPr>
    </w:lvl>
    <w:lvl w:ilvl="1" w:tentative="0">
      <w:start w:val="1"/>
      <w:numFmt w:val="chineseCounting"/>
      <w:pStyle w:val="19"/>
      <w:suff w:val="nothing"/>
      <w:lvlText w:val="（%2）"/>
      <w:lvlJc w:val="left"/>
      <w:pPr>
        <w:tabs>
          <w:tab w:val="left" w:pos="0"/>
        </w:tabs>
        <w:ind w:left="0" w:firstLine="640"/>
      </w:pPr>
      <w:rPr>
        <w:rFonts w:hint="eastAsia" w:ascii="宋体" w:hAnsi="宋体" w:eastAsia="楷体" w:cs="宋体"/>
        <w:b/>
        <w:sz w:val="32"/>
        <w:szCs w:val="21"/>
      </w:rPr>
    </w:lvl>
    <w:lvl w:ilvl="2" w:tentative="0">
      <w:start w:val="1"/>
      <w:numFmt w:val="decimal"/>
      <w:pStyle w:val="20"/>
      <w:suff w:val="nothing"/>
      <w:lvlText w:val="%3．"/>
      <w:lvlJc w:val="left"/>
      <w:pPr>
        <w:tabs>
          <w:tab w:val="left" w:pos="0"/>
        </w:tabs>
        <w:ind w:left="0" w:leftChars="0" w:firstLine="640" w:firstLineChars="0"/>
      </w:pPr>
      <w:rPr>
        <w:rFonts w:hint="eastAsia" w:ascii="仿宋_GB2312" w:hAnsi="仿宋_GB2312" w:eastAsia="仿宋_GB2312" w:cs="宋体"/>
        <w:b/>
        <w:bCs/>
        <w:sz w:val="32"/>
      </w:rPr>
    </w:lvl>
    <w:lvl w:ilvl="3" w:tentative="0">
      <w:start w:val="1"/>
      <w:numFmt w:val="decimal"/>
      <w:pStyle w:val="21"/>
      <w:suff w:val="nothing"/>
      <w:lvlText w:val="（%4）"/>
      <w:lvlJc w:val="left"/>
      <w:pPr>
        <w:ind w:left="0" w:firstLine="640"/>
      </w:pPr>
      <w:rPr>
        <w:rFonts w:hint="eastAsia" w:ascii="仿宋_GB2312" w:hAnsi="仿宋_GB2312" w:eastAsia="仿宋_GB2312" w:cs="宋体"/>
        <w:b/>
        <w:sz w:val="32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2">
    <w:nsid w:val="69014411"/>
    <w:multiLevelType w:val="multilevel"/>
    <w:tmpl w:val="69014411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641"/>
      </w:pPr>
      <w:rPr>
        <w:rFonts w:hint="eastAsia" w:ascii="宋体" w:hAnsi="宋体" w:eastAsia="仿宋" w:cs="宋体"/>
        <w:b/>
        <w:sz w:val="32"/>
      </w:rPr>
    </w:lvl>
    <w:lvl w:ilvl="1" w:tentative="0">
      <w:start w:val="1"/>
      <w:numFmt w:val="chineseCounting"/>
      <w:suff w:val="nothing"/>
      <w:lvlText w:val="（%2）"/>
      <w:lvlJc w:val="left"/>
      <w:pPr>
        <w:tabs>
          <w:tab w:val="left" w:pos="0"/>
        </w:tabs>
        <w:ind w:left="0" w:firstLine="641"/>
      </w:pPr>
      <w:rPr>
        <w:rFonts w:hint="eastAsia" w:ascii="宋体" w:hAnsi="宋体" w:eastAsia="仿宋" w:cs="宋体"/>
        <w:b/>
        <w:sz w:val="32"/>
        <w:szCs w:val="21"/>
      </w:rPr>
    </w:lvl>
    <w:lvl w:ilvl="2" w:tentative="0">
      <w:start w:val="1"/>
      <w:numFmt w:val="decimal"/>
      <w:suff w:val="nothing"/>
      <w:lvlText w:val="%3．"/>
      <w:lvlJc w:val="left"/>
      <w:pPr>
        <w:tabs>
          <w:tab w:val="left" w:pos="0"/>
        </w:tabs>
        <w:ind w:left="0" w:leftChars="0" w:firstLine="641" w:firstLineChars="0"/>
      </w:pPr>
      <w:rPr>
        <w:rFonts w:hint="eastAsia" w:ascii="宋体" w:hAnsi="宋体" w:eastAsia="宋体" w:cs="宋体"/>
        <w:b/>
        <w:bCs/>
        <w:sz w:val="32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